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NORALBA GARCÍA MORENO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Directora Técnica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Av 2 Norte # 10-70 (CAM), torre Alcaldía piso 16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Unidad Administrativa Especial de Gestión de Bienes y Servicios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noralba.garcia@cali.gov.co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petición_apoyo estrategia Cultura Bulevar del Rio.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No.202541810100008804,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en referencia al asunto, se comunica que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2"/>
          <w:sz w:val="24"/>
          <w:szCs w:val="24"/>
          <w:u w:val="none"/>
          <w:effect w:val="none"/>
          <w:shd w:fill="FFFFFF" w:val="clear"/>
          <w:em w:val="none"/>
          <w:lang w:val="es-CO" w:eastAsia="ar-SA" w:bidi="ar-SA"/>
        </w:rPr>
        <w:t>es importante darle a conocer que de acuerdo con los lineamientos técnicos  para el Manejo Integrado de Vectores, de la Organización Panamericana de la Salud y e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ffect w:val="none"/>
          <w:shd w:fill="FFFFFF" w:val="clear"/>
          <w:em w:val="none"/>
          <w:lang w:bidi="ar-SA"/>
        </w:rPr>
        <w:t xml:space="preserve">l  Ministerio de Salud y Protección Social, la fumigación es una herramienta de control, que se utiliza en situaciones de emergencia o epidemia para interrumpir el contacto vector-humano según el riesgo de transmisión identificado. Por lo tanto, la Secretaría de Salud del Distrito Especial de Santiago de Cali,  realiza seguimiento a la notificación de casos de dengue en toda la ciudad, para  programar acciones de control pertinentes según la situación epidemiológica identificada.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ffect w:val="none"/>
          <w:shd w:fill="FFFFFF" w:val="clear"/>
          <w:em w:val="none"/>
          <w:lang w:bidi="ar-SA"/>
        </w:rPr>
        <w:t>Sin embargo, en el momento no se ha identificado riesgo alto de dengue en el sector de la solicitud.</w:t>
      </w:r>
    </w:p>
    <w:p>
      <w:pPr>
        <w:pStyle w:val="Normal"/>
        <w:tabs>
          <w:tab w:val="clear" w:pos="709"/>
          <w:tab w:val="left" w:pos="735" w:leader="none"/>
        </w:tabs>
        <w:suppressAutoHyphens w:val="true"/>
        <w:spacing w:lineRule="auto" w:line="24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C9211E"/>
          <w:sz w:val="24"/>
          <w:szCs w:val="24"/>
          <w:u w:val="none"/>
          <w:effect w:val="none"/>
          <w:shd w:fill="FFFFFF" w:val="clear"/>
          <w:em w:val="none"/>
          <w:lang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C9211E"/>
          <w:sz w:val="24"/>
          <w:szCs w:val="24"/>
          <w:u w:val="none"/>
          <w:effect w:val="none"/>
          <w:shd w:fill="FFFFFF" w:val="clear"/>
          <w:em w:val="none"/>
          <w:lang w:bidi="ar-SA"/>
        </w:rPr>
      </w:r>
    </w:p>
    <w:p>
      <w:pPr>
        <w:pStyle w:val="LOnormal1"/>
        <w:keepNext w:val="false"/>
        <w:keepLines w:val="false"/>
        <w:widowControl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4"/>
          <w:sz w:val="24"/>
          <w:szCs w:val="24"/>
          <w:u w:val="none"/>
          <w:effect w:val="none"/>
          <w:shd w:fill="auto" w:val="clear"/>
          <w:vertAlign w:val="baseline"/>
          <w:lang w:val="es-CO" w:eastAsia="ar-SA" w:bidi="ar-SA"/>
        </w:rPr>
        <w:t xml:space="preserve">No obstante, personal del Programa de ETV se comunicará con alguno de los funcionarios mencionados en la solicitud para coordinar las acciones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2"/>
          <w:position w:val="0"/>
          <w:sz w:val="24"/>
          <w:sz w:val="24"/>
          <w:szCs w:val="24"/>
          <w:u w:val="none"/>
          <w:effect w:val="none"/>
          <w:shd w:fill="FFFFFF" w:val="clear"/>
          <w:vertAlign w:val="baseline"/>
          <w:em w:val="none"/>
          <w:lang w:val="es-CO" w:eastAsia="ar-SA" w:bidi="ar-SA"/>
        </w:rPr>
        <w:t>de control que den lugar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4"/>
          <w:sz w:val="24"/>
          <w:szCs w:val="24"/>
          <w:u w:val="none"/>
          <w:effect w:val="none"/>
          <w:shd w:fill="auto" w:val="clear"/>
          <w:vertAlign w:val="baseline"/>
          <w:lang w:val="es-CO" w:eastAsia="ar-SA" w:bidi="ar-SA"/>
        </w:rPr>
        <w:t>.</w:t>
      </w:r>
    </w:p>
    <w:p>
      <w:pPr>
        <w:pStyle w:val="LOnormal1"/>
        <w:widowControl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4"/>
          <w:sz w:val="24"/>
          <w:szCs w:val="24"/>
          <w:u w:val="none"/>
          <w:effect w:val="none"/>
          <w:shd w:fill="auto" w:val="clear"/>
          <w:vertAlign w:val="baseline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4"/>
          <w:sz w:val="24"/>
          <w:szCs w:val="24"/>
          <w:u w:val="none"/>
          <w:effect w:val="none"/>
          <w:shd w:fill="auto" w:val="clear"/>
          <w:vertAlign w:val="baseline"/>
          <w:lang w:val="es-CO" w:eastAsia="ar-SA" w:bidi="ar-SA"/>
        </w:rPr>
      </w:r>
    </w:p>
    <w:p>
      <w:pPr>
        <w:pStyle w:val="Cuerpodetexto"/>
        <w:bidi w:val="0"/>
        <w:spacing w:lineRule="auto" w:line="240" w:before="57" w:after="57"/>
        <w:jc w:val="both"/>
        <w:rPr/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Además,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l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a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Secretaría de Salud del Distrito Especial de Santiago de Cali,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como parte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de las acciones regulares de prevención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de dengue,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 realiz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ó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 un ciclo quincenal de control de larvas (revisión y aplicación larvicida) en sumideros recolectores de agua lluvia en vía pública, ya que este es un depósito óptimo para la reproducción de </w:t>
      </w:r>
      <w:r>
        <w:rPr>
          <w:rFonts w:eastAsia="Arial Unicode MS" w:cs="Times New Roman" w:ascii="Arial" w:hAnsi="Arial"/>
          <w:b w:val="false"/>
          <w:i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Aedes aegypti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(mosquito que puede transmitir dengue). En lo corrido del año 2025, se tienen los siguientes resultados en la comuna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3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:</w:t>
      </w:r>
    </w:p>
    <w:tbl>
      <w:tblPr>
        <w:tblW w:w="9360" w:type="dxa"/>
        <w:jc w:val="left"/>
        <w:tblInd w:w="-5" w:type="dxa"/>
        <w:tblLayout w:type="fixed"/>
        <w:tblCellMar>
          <w:top w:w="28" w:type="dxa"/>
          <w:left w:w="98" w:type="dxa"/>
          <w:bottom w:w="28" w:type="dxa"/>
          <w:right w:w="108" w:type="dxa"/>
        </w:tblCellMar>
      </w:tblPr>
      <w:tblGrid>
        <w:gridCol w:w="2265"/>
        <w:gridCol w:w="3285"/>
        <w:gridCol w:w="1995"/>
        <w:gridCol w:w="1814"/>
      </w:tblGrid>
      <w:tr>
        <w:trPr>
          <w:tblHeader w:val="true"/>
          <w:trHeight w:val="659" w:hRule="atLeast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AF6" w:val="clear"/>
            <w:vAlign w:val="center"/>
          </w:tcPr>
          <w:p>
            <w:pPr>
              <w:pStyle w:val="Ttulodelatabla"/>
              <w:widowControl w:val="false"/>
              <w:bidi w:val="0"/>
              <w:spacing w:lineRule="auto" w:line="240" w:before="100" w:after="119"/>
              <w:jc w:val="center"/>
              <w:rPr>
                <w:rFonts w:ascii="Arial" w:hAnsi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szCs w:val="20"/>
                <w:u w:val="none"/>
                <w:effect w:val="none"/>
                <w:shd w:fill="auto" w:val="clear"/>
              </w:rPr>
            </w:pPr>
            <w:r>
              <w:rPr>
                <w:rFonts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szCs w:val="20"/>
                <w:u w:val="none"/>
                <w:effect w:val="none"/>
                <w:shd w:fill="auto" w:val="clear"/>
              </w:rPr>
              <w:t>Dirección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AF6" w:val="clear"/>
            <w:vAlign w:val="center"/>
          </w:tcPr>
          <w:p>
            <w:pPr>
              <w:pStyle w:val="Ttulodelatabla"/>
              <w:widowControl w:val="false"/>
              <w:bidi w:val="0"/>
              <w:spacing w:lineRule="auto" w:line="240" w:before="100" w:after="119"/>
              <w:jc w:val="center"/>
              <w:rPr>
                <w:rFonts w:ascii="Arial" w:hAnsi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szCs w:val="20"/>
                <w:u w:val="none"/>
                <w:effect w:val="none"/>
                <w:shd w:fill="auto" w:val="clear"/>
              </w:rPr>
            </w:pPr>
            <w:r>
              <w:rPr>
                <w:rFonts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szCs w:val="20"/>
                <w:u w:val="none"/>
                <w:effect w:val="none"/>
                <w:shd w:fill="auto" w:val="clear"/>
              </w:rPr>
              <w:t>Barrios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AF6" w:val="clear"/>
            <w:vAlign w:val="center"/>
          </w:tcPr>
          <w:p>
            <w:pPr>
              <w:pStyle w:val="Ttulodelatabla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szCs w:val="20"/>
                <w:u w:val="none"/>
                <w:effect w:val="none"/>
                <w:shd w:fill="auto" w:val="clear"/>
              </w:rPr>
            </w:pPr>
            <w:r>
              <w:rPr>
                <w:rFonts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szCs w:val="20"/>
                <w:u w:val="none"/>
                <w:effect w:val="none"/>
                <w:shd w:fill="auto" w:val="clear"/>
              </w:rPr>
              <w:t>Total Sumideros Tratados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AF6" w:val="clear"/>
            <w:vAlign w:val="center"/>
          </w:tcPr>
          <w:p>
            <w:pPr>
              <w:pStyle w:val="Ttulodelatabla"/>
              <w:widowControl w:val="false"/>
              <w:bidi w:val="0"/>
              <w:spacing w:lineRule="auto" w:line="240" w:before="0" w:after="0"/>
              <w:jc w:val="center"/>
              <w:rPr>
                <w:rFonts w:ascii="Arial" w:hAnsi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szCs w:val="20"/>
                <w:u w:val="none"/>
                <w:effect w:val="none"/>
                <w:shd w:fill="auto" w:val="clear"/>
              </w:rPr>
            </w:pPr>
            <w:r>
              <w:rPr>
                <w:rFonts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szCs w:val="20"/>
                <w:u w:val="none"/>
                <w:effect w:val="none"/>
                <w:shd w:fill="auto" w:val="clear"/>
              </w:rPr>
              <w:t>Total revisiones a Sumideros</w:t>
            </w:r>
          </w:p>
        </w:tc>
      </w:tr>
      <w:tr>
        <w:trPr>
          <w:tblHeader w:val="true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both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ffect w:val="none"/>
                <w:shd w:fill="auto" w:val="clear"/>
                <w:em w:val="none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ffect w:val="none"/>
                <w:shd w:fill="auto" w:val="clear"/>
                <w:em w:val="none"/>
              </w:rPr>
              <w:t>CL 21 - 25 KR 8 - 4N</w:t>
            </w:r>
          </w:p>
          <w:p>
            <w:pPr>
              <w:pStyle w:val="Normal"/>
              <w:widowControl w:val="false"/>
              <w:bidi w:val="0"/>
              <w:spacing w:lineRule="auto" w:line="240"/>
              <w:jc w:val="both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ffect w:val="none"/>
                <w:shd w:fill="auto" w:val="clear"/>
                <w:em w:val="none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ffect w:val="none"/>
                <w:shd w:fill="auto" w:val="clear"/>
                <w:em w:val="none"/>
              </w:rPr>
              <w:t>CL 5 - 11 KR 10 - 15</w:t>
            </w:r>
          </w:p>
          <w:p>
            <w:pPr>
              <w:pStyle w:val="Normal"/>
              <w:widowControl w:val="false"/>
              <w:bidi w:val="0"/>
              <w:spacing w:lineRule="auto" w:line="240"/>
              <w:jc w:val="both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ffect w:val="none"/>
                <w:shd w:fill="auto" w:val="clear"/>
                <w:em w:val="none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ffect w:val="none"/>
                <w:shd w:fill="auto" w:val="clear"/>
                <w:em w:val="none"/>
              </w:rPr>
              <w:t>CL 5 - 15 KR 1- 10</w:t>
            </w:r>
          </w:p>
          <w:p>
            <w:pPr>
              <w:pStyle w:val="Normal"/>
              <w:widowControl w:val="false"/>
              <w:bidi w:val="0"/>
              <w:spacing w:lineRule="auto" w:line="240"/>
              <w:jc w:val="both"/>
              <w:rPr>
                <w:rFonts w:ascii="Arial" w:hAnsi="Arial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ffect w:val="none"/>
                <w:shd w:fill="auto" w:val="clear"/>
                <w:em w:val="none"/>
              </w:rPr>
            </w:pPr>
            <w:r>
              <w:rPr>
                <w:rFonts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ffect w:val="none"/>
                <w:shd w:fill="auto" w:val="clear"/>
                <w:em w:val="none"/>
              </w:rPr>
              <w:t>CL 5 - 5 Oeste - 3 Oeste - KR 1- 23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95" w:type="dxa"/>
              <w:bottom w:w="100" w:type="dxa"/>
              <w:right w:w="100" w:type="dxa"/>
            </w:tcMar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both"/>
              <w:rPr/>
            </w:pPr>
            <w:r>
              <w:rPr>
                <w:rFonts w:eastAsia="Arial Unicode MS" w:cs="Times New Roman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ffect w:val="none"/>
                <w:shd w:fill="auto" w:val="clear"/>
                <w:em w:val="none"/>
                <w:lang w:val="es-CO" w:eastAsia="ar-SA" w:bidi="ar-SA"/>
              </w:rPr>
              <w:t>San Nicolas - Piloto – Hoyo, San Bosco, La Merced - San Pedro – Centro, Peñón - San Antonio - San Cayetano - Libertadores - Nacional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95" w:type="dxa"/>
              <w:bottom w:w="100" w:type="dxa"/>
              <w:right w:w="100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Arial" w:hAnsi="Arial" w:eastAsia="Arial Unicode MS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es-CO" w:eastAsia="ar-SA" w:bidi="ar-SA"/>
              </w:rPr>
              <w:t>1624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95" w:type="dxa"/>
              <w:bottom w:w="100" w:type="dxa"/>
              <w:right w:w="100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Arial" w:hAnsi="Arial" w:eastAsia="Arial Unicode MS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es-CO" w:eastAsia="ar-SA" w:bidi="ar-SA"/>
              </w:rPr>
            </w:pPr>
            <w:r>
              <w:rPr>
                <w:rFonts w:eastAsia="Arial Unicode MS" w:cs="Times New Roman" w:ascii="Arial" w:hAnsi="Arial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es-CO" w:eastAsia="ar-SA" w:bidi="ar-SA"/>
              </w:rPr>
              <w:t>3182</w:t>
            </w:r>
          </w:p>
        </w:tc>
      </w:tr>
    </w:tbl>
    <w:p>
      <w:pPr>
        <w:pStyle w:val="LOnormal"/>
        <w:spacing w:lineRule="auto" w:line="240"/>
        <w:ind w:left="0" w:right="0" w:hanging="0"/>
        <w:jc w:val="both"/>
        <w:rPr>
          <w:rFonts w:ascii="Arial" w:hAnsi="Arial" w:cs="Arial"/>
        </w:rPr>
      </w:pPr>
      <w:r>
        <w:rPr/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cs="Arial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ffect w:val="none"/>
          <w:shd w:fill="FFFFFF" w:val="clear"/>
          <w:em w:val="none"/>
          <w:lang w:bidi="ar-SA"/>
        </w:rPr>
        <w:t>Con lo anterior se da respuesta a su solicitud, no obstante, estaremos atentos en caso de requerir información adicional.</w:t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pacing w:beforeAutospacing="0" w:before="0" w:after="0"/>
        <w:rPr>
          <w:rFonts w:ascii="Arial" w:hAnsi="Arial" w:cs="Arial"/>
          <w:sz w:val="16"/>
          <w:szCs w:val="16"/>
          <w:lang w:val="es-ES"/>
        </w:rPr>
      </w:pPr>
      <w:r>
        <w:rPr>
          <w:rFonts w:cs="Arial" w:ascii="Arial" w:hAnsi="Arial"/>
          <w:sz w:val="16"/>
          <w:szCs w:val="16"/>
          <w:lang w:val="es-ES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Clara Inés Solis Sandoval – Contratista.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 xml:space="preserve">Elaboró: </w:t>
      </w:r>
      <w:r>
        <w:rPr>
          <w:rFonts w:eastAsia="Times New Roman" w:cs="Arial" w:ascii="Arial" w:hAnsi="Arial"/>
          <w:color w:val="000000"/>
          <w:kern w:val="0"/>
          <w:sz w:val="16"/>
          <w:szCs w:val="16"/>
          <w:shd w:fill="FFFFFF" w:val="clear"/>
          <w:lang w:val="es-ES" w:eastAsia="es-CO" w:bidi="ar-SA"/>
        </w:rPr>
        <w:t xml:space="preserve">Dahiana Quintero Echeverry – Contratista. 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3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*202541450200005804*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202541450200005804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2025-03-10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4145.020.13.1.953.000580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202541810100008804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*202541450200005804*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202541450200005804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2025-03-10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4145.020.13.1.953.000580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202541810100008804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paragraph" w:styleId="LOnormal1">
    <w:name w:val="LO-normal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4"/>
      <w:szCs w:val="24"/>
      <w:lang w:val="es-CO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Application>LibreOffice/7.0.3.1$Windows_X86_64 LibreOffice_project/d7547858d014d4cf69878db179d326fc3483e082</Application>
  <Pages>2</Pages>
  <Words>443</Words>
  <Characters>2479</Characters>
  <CharactersWithSpaces>2895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2025-03-10T18:25:05Z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